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7D6A" w14:textId="6324D1FF" w:rsidR="00E6538D" w:rsidRDefault="000B57FD" w:rsidP="00E6538D">
      <w:pPr>
        <w:jc w:val="center"/>
        <w:rPr>
          <w:rFonts w:ascii="Verdana" w:hAnsi="Verdana"/>
          <w:b/>
          <w:sz w:val="20"/>
          <w:szCs w:val="20"/>
          <w:u w:val="single"/>
        </w:rPr>
      </w:pPr>
      <w:r>
        <w:rPr>
          <w:rFonts w:ascii="Verdana" w:hAnsi="Verdana"/>
          <w:b/>
          <w:sz w:val="20"/>
          <w:szCs w:val="20"/>
          <w:u w:val="single"/>
        </w:rPr>
        <w:t xml:space="preserve">Caso </w:t>
      </w:r>
      <w:r w:rsidR="003C3809">
        <w:rPr>
          <w:rFonts w:ascii="Verdana" w:hAnsi="Verdana"/>
          <w:b/>
          <w:sz w:val="20"/>
          <w:szCs w:val="20"/>
          <w:u w:val="single"/>
        </w:rPr>
        <w:t>Kimel</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sidR="005A1AE4">
        <w:rPr>
          <w:rFonts w:ascii="Verdana" w:hAnsi="Verdana"/>
          <w:b/>
          <w:sz w:val="20"/>
          <w:szCs w:val="20"/>
          <w:u w:val="single"/>
        </w:rPr>
        <w:t>Argentina</w:t>
      </w:r>
      <w:r w:rsidR="00992DEC">
        <w:rPr>
          <w:rFonts w:ascii="Verdana" w:hAnsi="Verdana"/>
          <w:b/>
          <w:sz w:val="20"/>
          <w:szCs w:val="20"/>
          <w:u w:val="single"/>
        </w:rPr>
        <w:t xml:space="preserve">: </w:t>
      </w:r>
      <w:r w:rsidR="00992DEC" w:rsidRPr="00E6538D">
        <w:rPr>
          <w:rFonts w:ascii="Verdana" w:hAnsi="Verdana"/>
          <w:b/>
          <w:sz w:val="20"/>
          <w:szCs w:val="20"/>
          <w:u w:val="single"/>
        </w:rPr>
        <w:t>reparaciones declaradas cumplidas</w:t>
      </w:r>
    </w:p>
    <w:p w14:paraId="475D1563" w14:textId="31977EBE" w:rsidR="003C3809" w:rsidRPr="00A314C0"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r w:rsidRPr="00A314C0">
        <w:rPr>
          <w:rFonts w:ascii="Verdana" w:hAnsi="Verdana"/>
          <w:sz w:val="20"/>
          <w:szCs w:val="20"/>
        </w:rPr>
        <w:t>Realizar los pagos de las cantidades establecidas en la presente Sentencia por concepto de daño material, inmaterial y reintegro de costas y gastos</w:t>
      </w:r>
      <w:r w:rsidR="004006ED">
        <w:rPr>
          <w:rFonts w:ascii="Verdana" w:hAnsi="Verdana"/>
          <w:sz w:val="20"/>
          <w:szCs w:val="20"/>
        </w:rPr>
        <w:t>.</w:t>
      </w:r>
    </w:p>
    <w:p w14:paraId="590A548D" w14:textId="77777777" w:rsidR="003C3809" w:rsidRPr="00A314C0" w:rsidRDefault="003C3809" w:rsidP="00186BB1">
      <w:pPr>
        <w:pStyle w:val="Prrafodelista"/>
        <w:spacing w:after="0" w:line="240" w:lineRule="auto"/>
        <w:ind w:left="0"/>
        <w:contextualSpacing w:val="0"/>
        <w:jc w:val="both"/>
        <w:rPr>
          <w:rFonts w:ascii="Verdana" w:hAnsi="Verdana"/>
          <w:sz w:val="20"/>
          <w:szCs w:val="20"/>
        </w:rPr>
      </w:pPr>
    </w:p>
    <w:p w14:paraId="7C5A7A0A" w14:textId="63048299" w:rsidR="003C3809" w:rsidRPr="00A314C0"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r w:rsidRPr="00A314C0">
        <w:rPr>
          <w:rFonts w:ascii="Verdana" w:hAnsi="Verdana"/>
          <w:sz w:val="20"/>
          <w:szCs w:val="20"/>
        </w:rPr>
        <w:t>Dejar sin efecto la condena penal impuesta al señor Kimel y todas las consecuencias que de ella se deriven</w:t>
      </w:r>
      <w:r w:rsidR="004006ED">
        <w:rPr>
          <w:rFonts w:ascii="Verdana" w:hAnsi="Verdana"/>
          <w:sz w:val="20"/>
          <w:szCs w:val="20"/>
        </w:rPr>
        <w:t>.</w:t>
      </w:r>
      <w:r w:rsidRPr="00A314C0">
        <w:rPr>
          <w:rFonts w:ascii="Verdana" w:hAnsi="Verdana"/>
          <w:sz w:val="20"/>
          <w:szCs w:val="20"/>
        </w:rPr>
        <w:t xml:space="preserve"> </w:t>
      </w:r>
    </w:p>
    <w:p w14:paraId="3608C326" w14:textId="77777777" w:rsidR="003C3809" w:rsidRPr="00A314C0" w:rsidRDefault="003C3809" w:rsidP="00186BB1">
      <w:pPr>
        <w:pStyle w:val="Prrafodelista"/>
        <w:spacing w:after="0" w:line="240" w:lineRule="auto"/>
        <w:contextualSpacing w:val="0"/>
        <w:rPr>
          <w:rFonts w:ascii="Verdana" w:hAnsi="Verdana"/>
          <w:sz w:val="20"/>
          <w:szCs w:val="20"/>
        </w:rPr>
      </w:pPr>
    </w:p>
    <w:p w14:paraId="093369D7" w14:textId="57D6D625" w:rsidR="003C3809" w:rsidRPr="00A314C0"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r w:rsidRPr="00A314C0">
        <w:rPr>
          <w:rFonts w:ascii="Verdana" w:hAnsi="Verdana"/>
          <w:sz w:val="20"/>
          <w:szCs w:val="20"/>
        </w:rPr>
        <w:t>Eliminar inmediatamente el nombre del señor Kimel de los registros públicos en los que aparezca con antecedentes penales relacionados con el presente caso</w:t>
      </w:r>
      <w:r w:rsidR="004006ED">
        <w:rPr>
          <w:rFonts w:ascii="Verdana" w:hAnsi="Verdana"/>
          <w:sz w:val="20"/>
          <w:szCs w:val="20"/>
        </w:rPr>
        <w:t>.</w:t>
      </w:r>
    </w:p>
    <w:p w14:paraId="14701933" w14:textId="77777777" w:rsidR="003C3809" w:rsidRPr="00A314C0" w:rsidRDefault="003C3809" w:rsidP="00186BB1">
      <w:pPr>
        <w:pStyle w:val="Prrafodelista"/>
        <w:spacing w:after="0" w:line="240" w:lineRule="auto"/>
        <w:contextualSpacing w:val="0"/>
        <w:rPr>
          <w:rFonts w:ascii="Verdana" w:hAnsi="Verdana"/>
          <w:sz w:val="20"/>
          <w:szCs w:val="20"/>
        </w:rPr>
      </w:pPr>
    </w:p>
    <w:p w14:paraId="2B8386EE" w14:textId="1D10FCDE" w:rsidR="003C3809" w:rsidRPr="00A314C0"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r w:rsidRPr="00A314C0">
        <w:rPr>
          <w:rFonts w:ascii="Verdana" w:hAnsi="Verdana"/>
          <w:sz w:val="20"/>
          <w:szCs w:val="20"/>
        </w:rPr>
        <w:t xml:space="preserve">Realizar las publicaciones </w:t>
      </w:r>
      <w:r w:rsidR="004006ED">
        <w:rPr>
          <w:rFonts w:ascii="Verdana" w:hAnsi="Verdana"/>
          <w:sz w:val="20"/>
          <w:szCs w:val="20"/>
        </w:rPr>
        <w:t xml:space="preserve">de la Sentencia </w:t>
      </w:r>
      <w:r w:rsidRPr="00A314C0">
        <w:rPr>
          <w:rFonts w:ascii="Verdana" w:hAnsi="Verdana"/>
          <w:sz w:val="20"/>
          <w:szCs w:val="20"/>
        </w:rPr>
        <w:t xml:space="preserve">señaladas en el párrafo 125 de </w:t>
      </w:r>
      <w:r w:rsidR="004006ED">
        <w:rPr>
          <w:rFonts w:ascii="Verdana" w:hAnsi="Verdana"/>
          <w:sz w:val="20"/>
          <w:szCs w:val="20"/>
        </w:rPr>
        <w:t>la misma</w:t>
      </w:r>
    </w:p>
    <w:p w14:paraId="6FDC2449" w14:textId="77777777" w:rsidR="003C3809" w:rsidRPr="00A314C0" w:rsidRDefault="003C3809" w:rsidP="00186BB1">
      <w:pPr>
        <w:pStyle w:val="Prrafodelista"/>
        <w:spacing w:after="0" w:line="240" w:lineRule="auto"/>
        <w:contextualSpacing w:val="0"/>
        <w:rPr>
          <w:rFonts w:ascii="Verdana" w:hAnsi="Verdana"/>
          <w:sz w:val="20"/>
          <w:szCs w:val="20"/>
        </w:rPr>
      </w:pPr>
    </w:p>
    <w:p w14:paraId="6B68FDD3" w14:textId="2EC587FD" w:rsidR="003C3809" w:rsidRPr="00A314C0"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r w:rsidRPr="00A314C0">
        <w:rPr>
          <w:rFonts w:ascii="Verdana" w:hAnsi="Verdana"/>
          <w:sz w:val="20"/>
          <w:szCs w:val="20"/>
        </w:rPr>
        <w:t>Realizar un acto público de reconocimiento de su responsabilidad</w:t>
      </w:r>
      <w:r w:rsidR="004006ED">
        <w:rPr>
          <w:rFonts w:ascii="Verdana" w:hAnsi="Verdana"/>
          <w:sz w:val="20"/>
          <w:szCs w:val="20"/>
        </w:rPr>
        <w:t>.</w:t>
      </w:r>
      <w:r w:rsidRPr="00A314C0">
        <w:rPr>
          <w:rFonts w:ascii="Verdana" w:hAnsi="Verdana"/>
          <w:sz w:val="20"/>
          <w:szCs w:val="20"/>
        </w:rPr>
        <w:t xml:space="preserve"> </w:t>
      </w:r>
    </w:p>
    <w:p w14:paraId="35DE8ADA" w14:textId="77777777" w:rsidR="003C3809" w:rsidRPr="00A314C0" w:rsidRDefault="003C3809" w:rsidP="00186BB1">
      <w:pPr>
        <w:pStyle w:val="Prrafodelista"/>
        <w:spacing w:after="0" w:line="240" w:lineRule="auto"/>
        <w:contextualSpacing w:val="0"/>
        <w:rPr>
          <w:rFonts w:ascii="Verdana" w:hAnsi="Verdana"/>
          <w:sz w:val="20"/>
          <w:szCs w:val="20"/>
        </w:rPr>
      </w:pPr>
    </w:p>
    <w:p w14:paraId="3581A922" w14:textId="4D860AAB" w:rsidR="003C3809" w:rsidRDefault="003C3809" w:rsidP="00186BB1">
      <w:pPr>
        <w:pStyle w:val="Prrafodelista"/>
        <w:numPr>
          <w:ilvl w:val="0"/>
          <w:numId w:val="3"/>
        </w:numPr>
        <w:spacing w:after="0" w:line="240" w:lineRule="auto"/>
        <w:ind w:left="0" w:firstLine="0"/>
        <w:contextualSpacing w:val="0"/>
        <w:jc w:val="both"/>
        <w:rPr>
          <w:rFonts w:ascii="Verdana" w:hAnsi="Verdana"/>
          <w:sz w:val="20"/>
          <w:szCs w:val="20"/>
        </w:rPr>
      </w:pPr>
      <w:bookmarkStart w:id="0" w:name="_Hlk146884250"/>
      <w:r w:rsidRPr="00A314C0">
        <w:rPr>
          <w:rFonts w:ascii="Verdana" w:hAnsi="Verdana"/>
          <w:sz w:val="20"/>
          <w:szCs w:val="20"/>
        </w:rPr>
        <w:t xml:space="preserve">Adecuar en un plazo razonable su derecho interno a la Convención Americana sobre Derechos Humanos, de tal forma que las imprecisiones reconocidas por el Estado </w:t>
      </w:r>
      <w:r w:rsidR="004006ED">
        <w:rPr>
          <w:rFonts w:ascii="Verdana" w:hAnsi="Verdana"/>
          <w:sz w:val="20"/>
          <w:szCs w:val="20"/>
        </w:rPr>
        <w:t>en la normativa penal que sanciona las calumnias y las injurias</w:t>
      </w:r>
      <w:r w:rsidRPr="00A314C0">
        <w:rPr>
          <w:rFonts w:ascii="Verdana" w:hAnsi="Verdana"/>
          <w:sz w:val="20"/>
          <w:szCs w:val="20"/>
        </w:rPr>
        <w:t xml:space="preserve"> se corrijan para satisfacer los requerimientos de seguridad jurídica y, consecuentemente, no afecten el ejercicio del derecho a la libertad de expresión.</w:t>
      </w:r>
    </w:p>
    <w:bookmarkEnd w:id="0"/>
    <w:p w14:paraId="565A9FF1" w14:textId="77777777" w:rsidR="004006ED" w:rsidRPr="004006ED" w:rsidRDefault="004006ED" w:rsidP="004006ED">
      <w:pPr>
        <w:rPr>
          <w:rFonts w:ascii="Verdana" w:hAnsi="Verdana"/>
          <w:sz w:val="20"/>
          <w:szCs w:val="20"/>
        </w:rPr>
      </w:pPr>
    </w:p>
    <w:sectPr w:rsidR="004006ED" w:rsidRPr="004006E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85B7" w14:textId="77777777" w:rsidR="00E6538D" w:rsidRDefault="00E6538D" w:rsidP="00E6538D">
      <w:pPr>
        <w:spacing w:after="0" w:line="240" w:lineRule="auto"/>
      </w:pPr>
      <w:r>
        <w:separator/>
      </w:r>
    </w:p>
  </w:endnote>
  <w:endnote w:type="continuationSeparator" w:id="0">
    <w:p w14:paraId="6B5B51BB"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39DD"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5398A34F"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5252" w14:textId="77777777" w:rsidR="00E6538D" w:rsidRDefault="00E6538D" w:rsidP="00E6538D">
      <w:pPr>
        <w:spacing w:after="0" w:line="240" w:lineRule="auto"/>
      </w:pPr>
      <w:r>
        <w:separator/>
      </w:r>
    </w:p>
  </w:footnote>
  <w:footnote w:type="continuationSeparator" w:id="0">
    <w:p w14:paraId="20F84C75"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11100110">
    <w:abstractNumId w:val="0"/>
  </w:num>
  <w:num w:numId="2" w16cid:durableId="1679575172">
    <w:abstractNumId w:val="1"/>
  </w:num>
  <w:num w:numId="3" w16cid:durableId="201510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B57FD"/>
    <w:rsid w:val="00186BB1"/>
    <w:rsid w:val="0032767E"/>
    <w:rsid w:val="003C3809"/>
    <w:rsid w:val="004006ED"/>
    <w:rsid w:val="005A1AE4"/>
    <w:rsid w:val="00706020"/>
    <w:rsid w:val="00864957"/>
    <w:rsid w:val="00992DEC"/>
    <w:rsid w:val="00A314C0"/>
    <w:rsid w:val="00D60FF1"/>
    <w:rsid w:val="00E6538D"/>
    <w:rsid w:val="00FC2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507D"/>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7</cp:revision>
  <dcterms:created xsi:type="dcterms:W3CDTF">2018-06-26T23:02:00Z</dcterms:created>
  <dcterms:modified xsi:type="dcterms:W3CDTF">2023-09-29T18:52:00Z</dcterms:modified>
</cp:coreProperties>
</file>